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76AF1" w:rsidP="0063118F">
      <w:pPr>
        <w:spacing w:before="120" w:after="120"/>
        <w:jc w:val="center"/>
        <w:rPr>
          <w:b/>
          <w:sz w:val="24"/>
          <w:szCs w:val="24"/>
        </w:rPr>
      </w:pPr>
      <w:r w:rsidRPr="00976AF1">
        <w:rPr>
          <w:b/>
          <w:sz w:val="24"/>
          <w:szCs w:val="24"/>
        </w:rPr>
        <w:t>Gençlere Yönelik Dış Ticaret Eğitimi ve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8608DE"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bookmarkStart w:id="0" w:name="_GoBack"/>
        <w:bookmarkEnd w:id="0"/>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6D4319" w:rsidP="006D4319">
            <w:pPr>
              <w:pStyle w:val="ListeParagraf"/>
              <w:numPr>
                <w:ilvl w:val="0"/>
                <w:numId w:val="34"/>
              </w:numPr>
              <w:spacing w:before="120" w:after="120"/>
              <w:jc w:val="both"/>
              <w:rPr>
                <w:sz w:val="24"/>
                <w:szCs w:val="24"/>
              </w:rPr>
            </w:pPr>
            <w:hyperlink r:id="rId10" w:history="1">
              <w:r>
                <w:rPr>
                  <w:rStyle w:val="Kpr"/>
                  <w:sz w:val="24"/>
                  <w:szCs w:val="24"/>
                </w:rPr>
                <w:t>emre.unal@oka.org.tr</w:t>
              </w:r>
            </w:hyperlink>
            <w:r>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76AF1" w:rsidP="00452495">
      <w:pPr>
        <w:spacing w:before="120" w:after="120"/>
        <w:jc w:val="both"/>
        <w:rPr>
          <w:bCs/>
          <w:color w:val="181B14"/>
          <w:sz w:val="24"/>
          <w:szCs w:val="24"/>
        </w:rPr>
      </w:pPr>
      <w:r w:rsidRPr="00976AF1">
        <w:rPr>
          <w:sz w:val="24"/>
          <w:szCs w:val="24"/>
        </w:rPr>
        <w:t xml:space="preserve">Gençlere Yönelik Dış Ticaret Eğitimi ve Danışmanlığı Hizmet Alımı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76AF1">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8DE" w:rsidRDefault="008608DE" w:rsidP="004029F6">
      <w:r>
        <w:separator/>
      </w:r>
    </w:p>
  </w:endnote>
  <w:endnote w:type="continuationSeparator" w:id="0">
    <w:p w:rsidR="008608DE" w:rsidRDefault="008608DE"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D4319">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D4319">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8DE" w:rsidRDefault="008608DE" w:rsidP="004029F6">
      <w:r>
        <w:separator/>
      </w:r>
    </w:p>
  </w:footnote>
  <w:footnote w:type="continuationSeparator" w:id="0">
    <w:p w:rsidR="008608DE" w:rsidRDefault="008608DE"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BE5A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10EEE-3490-4D37-933F-96C115CBA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1797</Words>
  <Characters>10244</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12017</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106</cp:revision>
  <cp:lastPrinted>2011-07-25T12:00:00Z</cp:lastPrinted>
  <dcterms:created xsi:type="dcterms:W3CDTF">2015-03-02T08:57:00Z</dcterms:created>
  <dcterms:modified xsi:type="dcterms:W3CDTF">2024-06-14T08:16:00Z</dcterms:modified>
</cp:coreProperties>
</file>