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b/>
          <w:noProof/>
        </w:rPr>
        <w:drawing>
          <wp:inline distT="114300" distB="114300" distL="114300" distR="114300">
            <wp:extent cx="5358913" cy="124007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8913" cy="1240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right="680"/>
        <w:jc w:val="both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KİŞİSEL VERİLERİN İŞLENMESİNE İLİŞKİN AYDINLATMA METNİ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Hakkımızda 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2" w:lineRule="auto"/>
        <w:ind w:right="-3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Sanayi ve Teknoloji Bakanlığı Kalkınma Ajansları Genel Müdürlüğü koordinasyonunda faaliyet gösteren Orta Karadeniz Kalkınma Ajansı ve </w:t>
      </w:r>
      <w:proofErr w:type="spellStart"/>
      <w:r>
        <w:rPr>
          <w:rFonts w:ascii="Tahoma" w:eastAsia="Tahoma" w:hAnsi="Tahoma" w:cs="Tahoma"/>
          <w:sz w:val="19"/>
          <w:szCs w:val="19"/>
        </w:rPr>
        <w:t>EduTech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iş birliği ile düzenlenen “Kuzeyin Dijital Yıldızları”-Veri ve İş Analistliği Eğitimi kapsamında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bizimle paylaştığ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ınız kişisel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verilerinizi  önemsiyoruz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. Bu aydınlatma metni, çeşitli kanallar aracılığı ile bizimle paylaşmış olduğunuz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kişisel  verilerinizin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veri sorumlusu olarak </w:t>
      </w:r>
      <w:r>
        <w:rPr>
          <w:rFonts w:ascii="Tahoma" w:eastAsia="Tahoma" w:hAnsi="Tahoma" w:cs="Tahoma"/>
          <w:sz w:val="19"/>
          <w:szCs w:val="19"/>
        </w:rPr>
        <w:t xml:space="preserve">Orta Karadeniz Kalkınma Ajansı ve </w:t>
      </w:r>
      <w:proofErr w:type="spellStart"/>
      <w:r>
        <w:rPr>
          <w:rFonts w:ascii="Tahoma" w:eastAsia="Tahoma" w:hAnsi="Tahoma" w:cs="Tahoma"/>
          <w:sz w:val="19"/>
          <w:szCs w:val="19"/>
        </w:rPr>
        <w:t>EduTech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tarafından ne amaçlarla işleneceği, kişisel veri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lerinizin  paylaşıldığı taraflar ve kişisel verilerinize ilişkin haklarınızı nasıl kullanacağınız konusunda sizleri  bilgilendirmeyi amaçlamaktadır.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Kişisel Verilerinizi Nasıl Topluyoruz?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2" w:lineRule="auto"/>
        <w:ind w:right="1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Kişisel verilerinizi doğrudan bizimle paylaşmış olabilirsiniz. Baz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ı durumlarda ise, iş ortaklarımız,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hizmet  aldığımız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danışmanlarımız veya ilişki içerisinde bulunduğumuz üçüncü kişiler aracılığıyla kişisel verileriniz  bize ulaştırılmış olabilir. 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Hangi Kişisel Verilerinizi Toplayabiliriz?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Sizinle ilgili topladığımız Kişisel Veriler aşağıdakileri içermektedir: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3" w:lineRule="auto"/>
        <w:ind w:left="225" w:firstLine="5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• Kimlik ve iletişim bilgileri: adınız; adres, e-mail, telefon bilgileri, cinsiyet; medeni hal, aile durumu,  doğum tarihi ve yeri, fotoğraflar ve fiziksel özellikleriniz;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1" w:lineRule="auto"/>
        <w:ind w:left="225" w:right="1" w:firstLine="5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• Özel nitelikli bilgiler: sendika üyeliği, dini inançlar, siyasi görüşler, sabıka kaydı,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psikolojik  durumunuz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, kronik rahatsızlıklarınıza ilişkin sağlık bilgileriniz;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2" w:lineRule="auto"/>
        <w:ind w:left="220" w:right="-5" w:firstLine="10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• Profesyonel geçmişe ilişkin bilgiler: eğitim geçmişi, istihdam tarihi, beceri ve den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eyim,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profesyonel  yeterlilik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ve bağlantılar, eğitim ve mesleki nitelikler, yabancı dil bilgisi, sertifika ve belgeler; referans  bilgileri, iş başvuru formlarında yer alan bilgiler, görüşmelerde kişiye ilişkin tutulan notlar, </w:t>
      </w:r>
      <w:proofErr w:type="spellStart"/>
      <w:r>
        <w:rPr>
          <w:rFonts w:ascii="Tahoma" w:eastAsia="Tahoma" w:hAnsi="Tahoma" w:cs="Tahoma"/>
          <w:color w:val="000000"/>
          <w:sz w:val="19"/>
          <w:szCs w:val="19"/>
        </w:rPr>
        <w:t>cover</w:t>
      </w:r>
      <w:proofErr w:type="spellEnd"/>
      <w:r>
        <w:rPr>
          <w:rFonts w:ascii="Tahoma" w:eastAsia="Tahoma" w:hAnsi="Tahoma" w:cs="Tahoma"/>
          <w:color w:val="000000"/>
          <w:sz w:val="19"/>
          <w:szCs w:val="19"/>
        </w:rPr>
        <w:t xml:space="preserve">  </w:t>
      </w:r>
      <w:proofErr w:type="spellStart"/>
      <w:r>
        <w:rPr>
          <w:rFonts w:ascii="Tahoma" w:eastAsia="Tahoma" w:hAnsi="Tahoma" w:cs="Tahoma"/>
          <w:color w:val="000000"/>
          <w:sz w:val="19"/>
          <w:szCs w:val="19"/>
        </w:rPr>
        <w:t>letter</w:t>
      </w:r>
      <w:proofErr w:type="spellEnd"/>
      <w:r>
        <w:rPr>
          <w:rFonts w:ascii="Tahoma" w:eastAsia="Tahoma" w:hAnsi="Tahoma" w:cs="Tahoma"/>
          <w:color w:val="000000"/>
          <w:sz w:val="19"/>
          <w:szCs w:val="19"/>
        </w:rPr>
        <w:t>, kişilik envant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eri sonuçları, özgeçmişlerde yer alan bilgiler dahil işe alım, ölçme &amp;  değerlendirme süreçleri gibi insan kaynakları projeleri kapsamında toplanan sizinle ilgili tüm bilgiler.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Kişisel Verilerinizi Ne Amaçlarla İşleriz?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Bizimle paylaştığınız kişisel verilerinizi aşağıdaki amaçlarla işler ve üçüncü kişilerle paylaşırız: </w:t>
      </w:r>
    </w:p>
    <w:p w:rsidR="00B11325" w:rsidRDefault="00412C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jc w:val="both"/>
        <w:rPr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İnsan kaynakları aday ha</w:t>
      </w:r>
      <w:r>
        <w:rPr>
          <w:rFonts w:ascii="Tahoma" w:eastAsia="Tahoma" w:hAnsi="Tahoma" w:cs="Tahoma"/>
          <w:sz w:val="19"/>
          <w:szCs w:val="19"/>
        </w:rPr>
        <w:t xml:space="preserve">vuzunun yönetilmesi,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süreçlerinin yürütülmesi. </w:t>
      </w:r>
    </w:p>
    <w:p w:rsidR="00B11325" w:rsidRDefault="00412C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İnsan kaynakları danışmanlık hizmetlerinin verilmesi. </w:t>
      </w:r>
    </w:p>
    <w:p w:rsidR="00B11325" w:rsidRDefault="00412C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İnsan kaynakları projelerin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in planlanması ve icra edilmesi. </w:t>
      </w:r>
    </w:p>
    <w:p w:rsidR="00B11325" w:rsidRDefault="00412C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İnsan kaynakları projelerinde değerlendirilmek ve/veya kullanılmak üzere birtakım </w:t>
      </w:r>
      <w:proofErr w:type="gramStart"/>
      <w:r>
        <w:rPr>
          <w:rFonts w:ascii="Tahoma" w:eastAsia="Tahoma" w:hAnsi="Tahoma" w:cs="Tahoma"/>
          <w:sz w:val="19"/>
          <w:szCs w:val="19"/>
        </w:rPr>
        <w:t>envanter</w:t>
      </w:r>
      <w:proofErr w:type="gramEnd"/>
      <w:r>
        <w:rPr>
          <w:rFonts w:ascii="Tahoma" w:eastAsia="Tahoma" w:hAnsi="Tahoma" w:cs="Tahoma"/>
          <w:sz w:val="19"/>
          <w:szCs w:val="19"/>
        </w:rPr>
        <w:t xml:space="preserve"> uygulamalarının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yürütülmesi ve icra edilmesi. </w:t>
      </w:r>
    </w:p>
    <w:p w:rsidR="00B11325" w:rsidRDefault="00412C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614"/>
        <w:jc w:val="both"/>
        <w:rPr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Kişisel gelişim ve ölçümleme çalışmalarının/uygulamalarının planlanması ve icra edilmesi. 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-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İlgili insan kaynakları çalışmasına uygunluğunuzun analiz edilmesi ve değerlendirilmesi. 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- </w:t>
      </w:r>
      <w:r>
        <w:rPr>
          <w:rFonts w:ascii="Tahoma" w:eastAsia="Tahoma" w:hAnsi="Tahoma" w:cs="Tahoma"/>
          <w:color w:val="000000"/>
          <w:sz w:val="19"/>
          <w:szCs w:val="19"/>
        </w:rPr>
        <w:t>İnsan kaynakları danışmanlık hizmetleri kapsamında raporlamaların yapılma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sı. </w:t>
      </w:r>
    </w:p>
    <w:p w:rsidR="00B11325" w:rsidRDefault="00412C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Üst düzey seçme ve yerleştirme çözümlerinin planlanması ve sunulması. </w:t>
      </w:r>
    </w:p>
    <w:p w:rsidR="00B11325" w:rsidRDefault="00412C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Liderlik akademisi faaliyetlerinin planlanması ve yürütülmesi. </w:t>
      </w:r>
    </w:p>
    <w:p w:rsidR="00B11325" w:rsidRDefault="00412C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Değerlendirme &amp; gelişim merkezi süreçlerinin planlanması ve yürütülmesi. </w:t>
      </w:r>
    </w:p>
    <w:p w:rsidR="00B11325" w:rsidRDefault="00412C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8"/>
        <w:jc w:val="both"/>
        <w:rPr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Yetkinliklerin çalışan performansıyla ilişkilendirilmesi ve kurum yetkinlik havuzu oluşturulması. </w:t>
      </w:r>
      <w:r>
        <w:rPr>
          <w:rFonts w:ascii="Cambria" w:eastAsia="Cambria" w:hAnsi="Cambria" w:cs="Cambria"/>
          <w:color w:val="000000"/>
          <w:sz w:val="19"/>
          <w:szCs w:val="19"/>
        </w:rPr>
        <w:t xml:space="preserve">- </w:t>
      </w:r>
      <w:r>
        <w:rPr>
          <w:rFonts w:ascii="Tahoma" w:eastAsia="Tahoma" w:hAnsi="Tahoma" w:cs="Tahoma"/>
          <w:color w:val="000000"/>
          <w:sz w:val="19"/>
          <w:szCs w:val="19"/>
        </w:rPr>
        <w:t>Yönetici seçme ve yerleştirme faaliyetlerinin planlanması ve icrası.</w:t>
      </w: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230" w:right="198"/>
        <w:jc w:val="both"/>
        <w:rPr>
          <w:rFonts w:ascii="Calibri" w:eastAsia="Calibri" w:hAnsi="Calibri" w:cs="Calibri"/>
        </w:rPr>
      </w:pP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98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Kişisel Verilerinizi Kimlerle Paylaşabiliriz?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2" w:lineRule="auto"/>
        <w:ind w:right="3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Kişisel verilerinizi, size destek olabilmek ve/veya sözleşme ilişkisi içerisinde bulunduğumuz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taraflara  hizmet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verebilmek amaçlarıyla, yurtiçinde ve yurtdışında hizmet aldığımız  danışmanlarımızla, tedarikçilerimizle ve iş </w:t>
      </w:r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>ortaklarımızla paylaşabiliriz. B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azı durumlarda ise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hukuki  yükümlülüklerimiz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kapsamında kanunen yetkili kamu kurumları ve özel kişi veya kuruluşlarla kişisel  verilerinizi paylaşmamız gerekebilmektedir.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right="54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Kişisel Verilerinizi Toplama Yöntemlerimiz ve Hukuki Sebeplerimiz Nelerdir?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2" w:lineRule="auto"/>
        <w:ind w:right="-5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Kişisel verilerinizi, fiziki veya elektronik ortamda, form veya kişilik envanteri doldurulması,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telefon  görüşmesi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ve/veya e-posta yazışmalarının yapılması suretiyle, otomatik, kısmen otomatik veya veri kayıt  sisteminin parçası olmak kaydıyla otomatik olm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ayan yollar ile toplar ve yurtdışında işleriz. 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Kişisel verilerinizi aşağıda belirtilen hukuki sebeplere dayalı olarak işleriz:  </w:t>
      </w:r>
    </w:p>
    <w:p w:rsidR="00B11325" w:rsidRDefault="00412C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52" w:line="242" w:lineRule="auto"/>
        <w:ind w:right="-3"/>
        <w:jc w:val="both"/>
        <w:rPr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Bir hakkın tesisi, kullanılması veya korunması: Bize yetkinlik kazanmak ve sonrasında iş fırsatları yakalamak için başvurduğunuzda, </w:t>
      </w:r>
      <w:r>
        <w:rPr>
          <w:rFonts w:ascii="Tahoma" w:eastAsia="Tahoma" w:hAnsi="Tahoma" w:cs="Tahoma"/>
          <w:sz w:val="19"/>
          <w:szCs w:val="19"/>
        </w:rPr>
        <w:t>b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ize doğrudan bir iş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başvurusunda  bulunduğunuzda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>, uygun pozisyonlarda değerlendirilmek üzere özgeçmişinizi ilettiğinizde iş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 başvurusu hakkınızı kullanabilmeniz için ya da bize ilettiğiniz talep, görüşlerinizle ilgili size dönüş  yapabilmek için kişisel verilerinizi işleriz. </w:t>
      </w:r>
    </w:p>
    <w:p w:rsidR="00B11325" w:rsidRDefault="00412C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5"/>
        <w:jc w:val="both"/>
        <w:rPr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Hukuki yükümlülük: Kanunen bazı mevzuatlarda yer alan hukuki yükümlülüklerimizi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yerine  getirebilmek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i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çin kişisel verilerinizi işlememiz gerekebilir.  </w:t>
      </w:r>
    </w:p>
    <w:p w:rsidR="00B11325" w:rsidRDefault="00412C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2"/>
        <w:jc w:val="both"/>
        <w:rPr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Alenileştirme: İş bulma amacıyla “herkese açık” olarak sunduğunuz bilgilerinizi, size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yardımcı  olabilmek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ve iş fırsatları oluşturabilmek amacıyla işleriz. </w:t>
      </w:r>
    </w:p>
    <w:p w:rsidR="00B11325" w:rsidRDefault="00412C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"/>
        <w:jc w:val="both"/>
        <w:rPr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Meşru menfaat: Temel hak ve özgürlüklerinize zarar vermemek kaydıyla, </w:t>
      </w:r>
      <w:r>
        <w:rPr>
          <w:rFonts w:ascii="Tahoma" w:eastAsia="Tahoma" w:hAnsi="Tahoma" w:cs="Tahoma"/>
          <w:sz w:val="19"/>
          <w:szCs w:val="19"/>
        </w:rPr>
        <w:t xml:space="preserve">Orta Karadeniz Kalkınma Ajansı ve </w:t>
      </w:r>
      <w:proofErr w:type="spellStart"/>
      <w:r>
        <w:rPr>
          <w:rFonts w:ascii="Tahoma" w:eastAsia="Tahoma" w:hAnsi="Tahoma" w:cs="Tahoma"/>
          <w:sz w:val="19"/>
          <w:szCs w:val="19"/>
        </w:rPr>
        <w:t>EduTech</w:t>
      </w:r>
      <w:proofErr w:type="spellEnd"/>
      <w:r>
        <w:rPr>
          <w:rFonts w:ascii="Tahoma" w:eastAsia="Tahoma" w:hAnsi="Tahoma" w:cs="Tahoma"/>
          <w:color w:val="000000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meşru  menfaatleri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için gerekli olan durumlarda kişisel verilerinizi işleyebiliyoruz. Bu tür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meşru  menfaatler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, sizin adınıza belirli bir işlem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türünü gerçekleştireceğimiz veya sahtekarlık tespiti ve  önlenmesi için kişisel veri işlemenin gerekli olduğu konusunda makul bir beklentiniz olduğu  durumlarda söz konusu olabilir. </w:t>
      </w:r>
    </w:p>
    <w:p w:rsidR="00B11325" w:rsidRDefault="00412C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"/>
        <w:jc w:val="both"/>
        <w:rPr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Açık rıza: Kişisel verilerinizi işleyebilmek için ilgili mevzuatta yer al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an hukuki sebeplerden en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az  birisinin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olmadığı durumlarda rızanızı istiyoruz; bu şekilde vermiş olduğunuz rızanızı her zaman  geri çekebilirsiniz. Kişisel verilerinizi işleyebilmemiz için tek hukuki sebep, rızanız ise, geri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çekme  durumunda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kişisel verile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rinizi işleyemiyor olacağımızı bilmenizi isteriz.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2" w:lineRule="auto"/>
        <w:ind w:right="1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Haklarınızı Kullanmak ve Daha Fazla Bilgi İçin...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3" w:lineRule="auto"/>
        <w:ind w:right="2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Kişisel verilerinizin işlenmesi hakkında haklarınıza ilişkin taleplerinizi, aşağıda belirtilen yöntemlerle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bize  iletebilirsiniz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. Talebinizi aldığımızda,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talebinizin niteliğine göre talebinizi en kısa sürede ve en geç 30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gün  içinde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ücretsiz olarak sonuçlandırıyor olacağız. 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2" w:lineRule="auto"/>
        <w:ind w:right="1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Talebinize ilişkin işlemlerin ayrı bir maliyet gerektirebileceği bazı durumlar söz konusu olabilmektedir.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Bu  durumda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 xml:space="preserve">Orta Karadeniz Kalkınma Ajansı ve </w:t>
      </w:r>
      <w:proofErr w:type="spellStart"/>
      <w:r>
        <w:rPr>
          <w:rFonts w:ascii="Tahoma" w:eastAsia="Tahoma" w:hAnsi="Tahoma" w:cs="Tahoma"/>
          <w:sz w:val="19"/>
          <w:szCs w:val="19"/>
        </w:rPr>
        <w:t>EduTech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olarak Kişisel Verileri Koruma Kurulunca belirlenen tarifedeki ücreti sizden talep  edebileceğimizi bilmenizi isteriz.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6698 sayılı Kişisel Verilerin Korunması Kanunun “ilgili </w:t>
      </w:r>
      <w:r>
        <w:rPr>
          <w:rFonts w:ascii="Tahoma" w:eastAsia="Tahoma" w:hAnsi="Tahoma" w:cs="Tahoma"/>
          <w:sz w:val="19"/>
          <w:szCs w:val="19"/>
        </w:rPr>
        <w:t>kişinin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haklarını düzenleyen” 11.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Madd</w:t>
      </w:r>
      <w:r>
        <w:rPr>
          <w:rFonts w:ascii="Tahoma" w:eastAsia="Tahoma" w:hAnsi="Tahoma" w:cs="Tahoma"/>
          <w:color w:val="000000"/>
          <w:sz w:val="19"/>
          <w:szCs w:val="19"/>
        </w:rPr>
        <w:t>esi  kapsamında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kişisel verilerinize ilişkin haklarınızı kullanmak veya sorularınızı</w:t>
      </w:r>
      <w:r>
        <w:rPr>
          <w:rFonts w:ascii="Tahoma" w:eastAsia="Tahoma" w:hAnsi="Tahoma" w:cs="Tahoma"/>
          <w:sz w:val="19"/>
          <w:szCs w:val="19"/>
        </w:rPr>
        <w:t xml:space="preserve"> aşağıda belirtilen adreslere yazılı olarak  iletebilirsiniz:</w:t>
      </w:r>
    </w:p>
    <w:p w:rsidR="00B11325" w:rsidRDefault="00412CB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sz w:val="19"/>
          <w:szCs w:val="19"/>
        </w:rPr>
      </w:pPr>
      <w:proofErr w:type="spellStart"/>
      <w:r>
        <w:rPr>
          <w:rFonts w:ascii="Tahoma" w:eastAsia="Tahoma" w:hAnsi="Tahoma" w:cs="Tahoma"/>
          <w:sz w:val="19"/>
          <w:szCs w:val="19"/>
        </w:rPr>
        <w:t>Yaşardoğu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Caddesi NO:62 Samsun Merkez Organize Sanayi Bölgesi Tekkeköy/SAMSUN </w:t>
      </w:r>
    </w:p>
    <w:p w:rsidR="00B11325" w:rsidRDefault="00412CB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3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Merkez Mahallesi Durmuşoğlu Caddesi No 12/6 </w:t>
      </w:r>
      <w:proofErr w:type="spellStart"/>
      <w:r>
        <w:rPr>
          <w:rFonts w:ascii="Tahoma" w:eastAsia="Tahoma" w:hAnsi="Tahoma" w:cs="Tahoma"/>
          <w:sz w:val="19"/>
          <w:szCs w:val="19"/>
        </w:rPr>
        <w:t>Çekmeköy</w:t>
      </w:r>
      <w:proofErr w:type="spellEnd"/>
      <w:r>
        <w:rPr>
          <w:rFonts w:ascii="Tahoma" w:eastAsia="Tahoma" w:hAnsi="Tahoma" w:cs="Tahoma"/>
          <w:sz w:val="19"/>
          <w:szCs w:val="19"/>
        </w:rPr>
        <w:t>/İstanbul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</w:t>
      </w: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sz w:val="24"/>
          <w:szCs w:val="24"/>
        </w:rPr>
      </w:pP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sz w:val="24"/>
          <w:szCs w:val="24"/>
        </w:rPr>
      </w:pP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sz w:val="24"/>
          <w:szCs w:val="24"/>
        </w:rPr>
      </w:pP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sz w:val="24"/>
          <w:szCs w:val="24"/>
        </w:rPr>
      </w:pP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sz w:val="24"/>
          <w:szCs w:val="24"/>
        </w:rPr>
      </w:pP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sz w:val="24"/>
          <w:szCs w:val="24"/>
        </w:rPr>
      </w:pP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sz w:val="24"/>
          <w:szCs w:val="24"/>
        </w:rPr>
      </w:pP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sz w:val="24"/>
          <w:szCs w:val="24"/>
        </w:rPr>
      </w:pP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sz w:val="24"/>
          <w:szCs w:val="24"/>
        </w:rPr>
      </w:pPr>
    </w:p>
    <w:p w:rsidR="00B11325" w:rsidRDefault="00B1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sz w:val="24"/>
          <w:szCs w:val="24"/>
        </w:rPr>
      </w:pP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3" w:lineRule="auto"/>
        <w:ind w:right="3"/>
        <w:jc w:val="both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KİŞİSEL VERİLERİN İŞLENMESİNE İLİŞKİN RIZA METNİ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right="4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Kanun gereği bazı durumlarda kişisel verilerinizi işleyebilmemiz için rızanıza ihtiyaç duyuyoruz.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Aşağıda  belirtilen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kişisel verilerinizin işlenmesine rıza veriyorsanız lütfen bu formu imzalayınız. 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2" w:lineRule="auto"/>
        <w:ind w:right="-2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sz w:val="19"/>
          <w:szCs w:val="19"/>
        </w:rPr>
        <w:t xml:space="preserve">Orta Karadeniz Kalkınma Ajansı, </w:t>
      </w:r>
      <w:proofErr w:type="spellStart"/>
      <w:r>
        <w:rPr>
          <w:rFonts w:ascii="Tahoma" w:eastAsia="Tahoma" w:hAnsi="Tahoma" w:cs="Tahoma"/>
          <w:sz w:val="19"/>
          <w:szCs w:val="19"/>
        </w:rPr>
        <w:t>EduTech</w:t>
      </w:r>
      <w:proofErr w:type="spellEnd"/>
      <w:r>
        <w:rPr>
          <w:rFonts w:ascii="Tahoma" w:eastAsia="Tahoma" w:hAnsi="Tahoma" w:cs="Tahoma"/>
          <w:color w:val="000000"/>
          <w:sz w:val="19"/>
          <w:szCs w:val="19"/>
        </w:rPr>
        <w:t xml:space="preserve"> veya yetkilendi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rdiği üçüncü kişilerin, “Kişisel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Verilerin  İşlenmesine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İlişkin Aydınlatma Metni” kapsamında, işe alım, seçme ve yerleştirme süreçlerinin  yürütülebilmesi ile kişisel gelişim ve ölçümleme çalışmalarının yürütülmesi amaçlarıyla; CV, kişilik  envanteri ve sa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ir değerlendirme ölçütleri ile edinilebilecek ve/veya benim tarafımdan </w:t>
      </w:r>
      <w:r>
        <w:rPr>
          <w:rFonts w:ascii="Tahoma" w:eastAsia="Tahoma" w:hAnsi="Tahoma" w:cs="Tahoma"/>
          <w:sz w:val="19"/>
          <w:szCs w:val="19"/>
        </w:rPr>
        <w:t xml:space="preserve">Orta Karadeniz Kalkınma Ajansı ve </w:t>
      </w:r>
      <w:proofErr w:type="spellStart"/>
      <w:r>
        <w:rPr>
          <w:rFonts w:ascii="Tahoma" w:eastAsia="Tahoma" w:hAnsi="Tahoma" w:cs="Tahoma"/>
          <w:sz w:val="19"/>
          <w:szCs w:val="19"/>
        </w:rPr>
        <w:t>EduTech</w:t>
      </w:r>
      <w:proofErr w:type="spellEnd"/>
      <w:r>
        <w:rPr>
          <w:rFonts w:ascii="Tahoma" w:eastAsia="Tahoma" w:hAnsi="Tahoma" w:cs="Tahoma"/>
          <w:color w:val="000000"/>
          <w:sz w:val="19"/>
          <w:szCs w:val="19"/>
        </w:rPr>
        <w:t xml:space="preserve"> ile  paylaşılacak sağlık bilgilerim, ceza mahkumiyeti bilgilerim gibi özel nitelikli verilerim ile kişilik envanteri  yapılırsa bu envanter kap</w:t>
      </w:r>
      <w:r>
        <w:rPr>
          <w:rFonts w:ascii="Tahoma" w:eastAsia="Tahoma" w:hAnsi="Tahoma" w:cs="Tahoma"/>
          <w:color w:val="000000"/>
          <w:sz w:val="19"/>
          <w:szCs w:val="19"/>
        </w:rPr>
        <w:t>samında edinilebilecek kişisel verilerimin işlenmesine ve aynı amaçlarla  tedarikçileri, danışmanları veya iş ortakları ile yurtiçinde ve yurtdışında paylaşmasına; başvurduğum  pozisyon dışında da uygun pozisyonlarda değerlendirilmem için özgeçmişimin aday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veri tabanında yer  almasına rıza veriyorum.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57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Ad-</w:t>
      </w:r>
      <w:proofErr w:type="spellStart"/>
      <w:r>
        <w:rPr>
          <w:rFonts w:ascii="Tahoma" w:eastAsia="Tahoma" w:hAnsi="Tahoma" w:cs="Tahoma"/>
          <w:b/>
          <w:color w:val="000000"/>
        </w:rPr>
        <w:t>Soyad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: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57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Tarih: </w:t>
      </w:r>
    </w:p>
    <w:p w:rsidR="00B11325" w:rsidRDefault="00412C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0" w:lineRule="auto"/>
        <w:ind w:left="589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İmza:  </w:t>
      </w:r>
      <w:bookmarkStart w:id="0" w:name="_GoBack"/>
      <w:bookmarkEnd w:id="0"/>
    </w:p>
    <w:sectPr w:rsidR="00B11325">
      <w:pgSz w:w="11900" w:h="16820"/>
      <w:pgMar w:top="321" w:right="1354" w:bottom="1022" w:left="83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B50"/>
    <w:multiLevelType w:val="multilevel"/>
    <w:tmpl w:val="3BF81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BE70DD"/>
    <w:multiLevelType w:val="multilevel"/>
    <w:tmpl w:val="4E5E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8E0C04"/>
    <w:multiLevelType w:val="multilevel"/>
    <w:tmpl w:val="2C7CF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25"/>
    <w:rsid w:val="00412CB1"/>
    <w:rsid w:val="00B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966AC-7C2C-4186-9EBB-F644F2F8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KİT</cp:lastModifiedBy>
  <cp:revision>2</cp:revision>
  <dcterms:created xsi:type="dcterms:W3CDTF">2025-04-04T09:17:00Z</dcterms:created>
  <dcterms:modified xsi:type="dcterms:W3CDTF">2025-04-04T09:38:00Z</dcterms:modified>
</cp:coreProperties>
</file>